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FA" w:rsidRDefault="00FC53FA" w:rsidP="00FC53FA">
      <w:pPr>
        <w:spacing w:before="9" w:after="108"/>
        <w:ind w:left="9504" w:right="72"/>
      </w:pPr>
    </w:p>
    <w:p w:rsidR="00FC53FA" w:rsidRDefault="00FC53FA" w:rsidP="00FC53FA">
      <w:pPr>
        <w:pStyle w:val="Style1"/>
        <w:kinsoku w:val="0"/>
        <w:autoSpaceDE/>
        <w:autoSpaceDN/>
        <w:adjustRightInd/>
        <w:spacing w:before="252" w:line="208" w:lineRule="auto"/>
        <w:ind w:left="3960"/>
        <w:rPr>
          <w:b/>
          <w:b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RESOLUCION No 515- 02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576"/>
        <w:ind w:left="936" w:right="648"/>
        <w:rPr>
          <w:rFonts w:ascii="Bookman Old Style" w:hAnsi="Bookman Old Style" w:cs="Bookman Old Style"/>
          <w:spacing w:val="-21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San José, a las diez horas </w:t>
      </w:r>
      <w:r>
        <w:rPr>
          <w:rFonts w:ascii="Bookman Old Style" w:hAnsi="Bookman Old Style" w:cs="Bookman Old Style"/>
          <w:spacing w:val="-21"/>
          <w:lang w:val="es-ES" w:eastAsia="es-ES"/>
        </w:rPr>
        <w:t>cuarenta y tres minutos del dieciséis de octubre del dos mil dos.-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252"/>
        <w:ind w:left="936" w:right="648" w:firstLine="72"/>
        <w:rPr>
          <w:b/>
          <w:bCs/>
          <w:spacing w:val="-4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 xml:space="preserve">Se conoce escrito presentado por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MTGA, cédula de </w:t>
      </w:r>
      <w:r>
        <w:rPr>
          <w:b/>
          <w:bCs/>
          <w:spacing w:val="-4"/>
          <w:sz w:val="25"/>
          <w:szCs w:val="25"/>
          <w:lang w:val="es-ES" w:eastAsia="es-ES"/>
        </w:rPr>
        <w:t>identidad número …</w:t>
      </w:r>
      <w:proofErr w:type="gramStart"/>
      <w:r>
        <w:rPr>
          <w:b/>
          <w:bCs/>
          <w:spacing w:val="-4"/>
          <w:sz w:val="25"/>
          <w:szCs w:val="25"/>
          <w:lang w:val="es-ES" w:eastAsia="es-ES"/>
        </w:rPr>
        <w:t>..</w:t>
      </w:r>
      <w:proofErr w:type="gramEnd"/>
      <w:r>
        <w:rPr>
          <w:b/>
          <w:bCs/>
          <w:spacing w:val="-4"/>
          <w:sz w:val="25"/>
          <w:szCs w:val="25"/>
          <w:lang w:val="es-ES" w:eastAsia="es-ES"/>
        </w:rPr>
        <w:t xml:space="preserve"> Expediente Administrativo No. TAT-365-02.</w:t>
      </w:r>
    </w:p>
    <w:p w:rsidR="00FC53FA" w:rsidRDefault="00FC53FA" w:rsidP="00FC53FA">
      <w:pPr>
        <w:pStyle w:val="Style1"/>
        <w:tabs>
          <w:tab w:val="right" w:pos="6279"/>
        </w:tabs>
        <w:kinsoku w:val="0"/>
        <w:autoSpaceDE/>
        <w:autoSpaceDN/>
        <w:adjustRightInd/>
        <w:spacing w:before="540" w:line="206" w:lineRule="auto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ab/>
        <w:t>RESULTANDO: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288" w:after="504"/>
        <w:ind w:right="648"/>
        <w:jc w:val="both"/>
        <w:rPr>
          <w:rFonts w:ascii="Bookman Old Style" w:hAnsi="Bookman Old Style" w:cs="Bookman Old Style"/>
          <w:spacing w:val="-19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PRIMERO: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Que el Consejo de Transporte Público, publicó en el Alcance 45 a La Gaceta </w:t>
      </w:r>
      <w:r>
        <w:rPr>
          <w:rFonts w:ascii="Bookman Old Style" w:hAnsi="Bookman Old Style" w:cs="Bookman Old Style"/>
          <w:spacing w:val="-7"/>
          <w:lang w:val="es-ES" w:eastAsia="es-ES"/>
        </w:rPr>
        <w:t xml:space="preserve">N° 134 del 12 de julio del 2000 el proyecto del "REGLAMENTO DEL PRIMER </w:t>
      </w:r>
      <w:r>
        <w:rPr>
          <w:rFonts w:ascii="Bookman Old Style" w:hAnsi="Bookman Old Style" w:cs="Bookman Old Style"/>
          <w:spacing w:val="14"/>
          <w:lang w:val="es-ES" w:eastAsia="es-ES"/>
        </w:rPr>
        <w:t xml:space="preserve">PROCEDIMIENTO ESPECIAL ABREVIADO PARA EL TRANSPORTE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REMUNERADO DE PERSONAS EN VEHÍCULOS EN LA MODALIDAD DE TAXI",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mediante el cual somete a audiencia pública dicho proyecto para que en un plazo de diez </w:t>
      </w:r>
      <w:r>
        <w:rPr>
          <w:rFonts w:ascii="Bookman Old Style" w:hAnsi="Bookman Old Style" w:cs="Bookman Old Style"/>
          <w:spacing w:val="-19"/>
          <w:lang w:val="es-ES" w:eastAsia="es-ES"/>
        </w:rPr>
        <w:t>días hábiles, quien a bien lo tenga, presente las objeciones que se estime convenientes.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after="252"/>
        <w:ind w:right="648"/>
        <w:jc w:val="both"/>
        <w:rPr>
          <w:rFonts w:ascii="Bookman Old Style" w:hAnsi="Bookman Old Style" w:cs="Bookman Old Style"/>
          <w:spacing w:val="-11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SEGUNDO: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Que mediante Decreto Ejecutivo N° 28913-MOPT, publicado el 19 de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septiembre del 2000, el Consejo de Transporte Público, somete a licitación pública la </w:t>
      </w:r>
      <w:r>
        <w:rPr>
          <w:rFonts w:ascii="Bookman Old Style" w:hAnsi="Bookman Old Style" w:cs="Bookman Old Style"/>
          <w:spacing w:val="-10"/>
          <w:lang w:val="es-ES" w:eastAsia="es-ES"/>
        </w:rPr>
        <w:t xml:space="preserve">concesión del servicio público de taxi, según "REGLAMENTO DEL PRIMER </w:t>
      </w:r>
      <w:r>
        <w:rPr>
          <w:rFonts w:ascii="Bookman Old Style" w:hAnsi="Bookman Old Style" w:cs="Bookman Old Style"/>
          <w:spacing w:val="14"/>
          <w:lang w:val="es-ES" w:eastAsia="es-ES"/>
        </w:rPr>
        <w:t xml:space="preserve">PROCEDIMIENTO ESPECIAL ABREVIADO PARA EL TRANSPORTE </w:t>
      </w:r>
      <w:r>
        <w:rPr>
          <w:rFonts w:ascii="Bookman Old Style" w:hAnsi="Bookman Old Style" w:cs="Bookman Old Style"/>
          <w:spacing w:val="-11"/>
          <w:lang w:val="es-ES" w:eastAsia="es-ES"/>
        </w:rPr>
        <w:t>REMUNERADO DE PERSONAS EN VEHICULOS EN LA MODALIDAD DE TAXI".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after="216"/>
        <w:ind w:right="648"/>
        <w:jc w:val="both"/>
        <w:rPr>
          <w:rFonts w:ascii="Bookman Old Style" w:hAnsi="Bookman Old Style" w:cs="Bookman Old Style"/>
          <w:spacing w:val="-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TERCERO: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Que el Consejo de Transporte Público, mediante acuerdo firme, publicado en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el Alcance N° 66 a La Gaceta N° 171, de fecha 6 de setiembre del 2001, estableció el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listado de calificación de las ofertas del Primer Procedimiento Abreviado de Taxis, </w:t>
      </w:r>
      <w:r>
        <w:rPr>
          <w:rFonts w:ascii="Bookman Old Style" w:hAnsi="Bookman Old Style" w:cs="Bookman Old Style"/>
          <w:spacing w:val="-25"/>
          <w:lang w:val="es-ES" w:eastAsia="es-ES"/>
        </w:rPr>
        <w:t>obtenida para cada uno de los participantes.</w:t>
      </w:r>
    </w:p>
    <w:p w:rsidR="00FC53FA" w:rsidRDefault="00FC53FA" w:rsidP="00FC53FA">
      <w:pPr>
        <w:pStyle w:val="Style1"/>
        <w:kinsoku w:val="0"/>
        <w:autoSpaceDE/>
        <w:autoSpaceDN/>
        <w:adjustRightInd/>
        <w:ind w:right="648"/>
        <w:jc w:val="both"/>
        <w:rPr>
          <w:rFonts w:ascii="Bookman Old Style" w:hAnsi="Bookman Old Style" w:cs="Bookman Old Style"/>
          <w:spacing w:val="-27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CUARTO: </w:t>
      </w:r>
      <w:r>
        <w:rPr>
          <w:rFonts w:ascii="Bookman Old Style" w:hAnsi="Bookman Old Style" w:cs="Bookman Old Style"/>
          <w:spacing w:val="-25"/>
          <w:lang w:val="es-ES" w:eastAsia="es-ES"/>
        </w:rPr>
        <w:t xml:space="preserve">Que el Consejo de Transporte Público, mediante acuerdo firme, publicado en el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>
        <w:rPr>
          <w:rFonts w:ascii="Bookman Old Style" w:hAnsi="Bookman Old Style" w:cs="Bookman Old Style"/>
          <w:spacing w:val="-27"/>
          <w:lang w:val="es-ES" w:eastAsia="es-ES"/>
        </w:rPr>
        <w:t>setiembre del 2001.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468"/>
        <w:jc w:val="center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QUINTO: </w:t>
      </w:r>
      <w:r>
        <w:rPr>
          <w:rFonts w:ascii="Bookman Old Style" w:hAnsi="Bookman Old Style" w:cs="Bookman Old Style"/>
          <w:spacing w:val="-19"/>
          <w:lang w:val="es-ES" w:eastAsia="es-ES"/>
        </w:rPr>
        <w:t>Que el Consejo de Transporte Público, mediante, publicación al Alcance N° 35</w:t>
      </w:r>
      <w:r>
        <w:rPr>
          <w:rFonts w:ascii="Bookman Old Style" w:hAnsi="Bookman Old Style" w:cs="Bookman Old Style"/>
          <w:spacing w:val="-19"/>
          <w:lang w:val="es-ES" w:eastAsia="es-ES"/>
        </w:rPr>
        <w:br/>
      </w:r>
      <w:r>
        <w:rPr>
          <w:rFonts w:ascii="Bookman Old Style" w:hAnsi="Bookman Old Style" w:cs="Bookman Old Style"/>
          <w:spacing w:val="-16"/>
          <w:lang w:val="es-ES" w:eastAsia="es-ES"/>
        </w:rPr>
        <w:t>a La Gaceta N° 83, de fecha 2 de mayo del 2002, convoca a los interesados a efectos de</w:t>
      </w:r>
      <w:r>
        <w:rPr>
          <w:rFonts w:ascii="Bookman Old Style" w:hAnsi="Bookman Old Style" w:cs="Bookman Old Style"/>
          <w:spacing w:val="-16"/>
          <w:lang w:val="es-ES" w:eastAsia="es-ES"/>
        </w:rPr>
        <w:br/>
      </w:r>
      <w:r>
        <w:rPr>
          <w:rFonts w:ascii="Bookman Old Style" w:hAnsi="Bookman Old Style" w:cs="Bookman Old Style"/>
          <w:spacing w:val="-20"/>
          <w:lang w:val="es-ES" w:eastAsia="es-ES"/>
        </w:rPr>
        <w:t>realizar la comunicación del resultado de sus medidas recursivas, por cuanto en la lista de</w:t>
      </w:r>
    </w:p>
    <w:p w:rsidR="00FC53FA" w:rsidRDefault="00FC53FA" w:rsidP="00FC53FA">
      <w:pPr>
        <w:widowControl/>
        <w:kinsoku/>
        <w:autoSpaceDE w:val="0"/>
        <w:autoSpaceDN w:val="0"/>
        <w:adjustRightInd w:val="0"/>
        <w:sectPr w:rsidR="00FC53FA">
          <w:pgSz w:w="12240" w:h="15840"/>
          <w:pgMar w:top="740" w:right="564" w:bottom="1530" w:left="1176" w:header="720" w:footer="720" w:gutter="0"/>
          <w:cols w:space="720"/>
          <w:noEndnote/>
        </w:sectPr>
      </w:pPr>
    </w:p>
    <w:p w:rsidR="00FC53FA" w:rsidRDefault="00FC53FA" w:rsidP="00FC53FA">
      <w:pPr>
        <w:pStyle w:val="Style1"/>
        <w:tabs>
          <w:tab w:val="right" w:pos="10148"/>
        </w:tabs>
        <w:kinsoku w:val="0"/>
        <w:autoSpaceDE/>
        <w:autoSpaceDN/>
        <w:adjustRightInd/>
        <w:spacing w:line="278" w:lineRule="auto"/>
        <w:ind w:left="8640"/>
        <w:rPr>
          <w:rFonts w:ascii="Arial" w:hAnsi="Arial" w:cs="Arial"/>
          <w:sz w:val="13"/>
          <w:szCs w:val="13"/>
          <w:lang w:val="es-ES" w:eastAsia="es-ES"/>
        </w:rPr>
      </w:pPr>
      <w:r>
        <w:rPr>
          <w:rFonts w:ascii="Arial" w:hAnsi="Arial" w:cs="Arial"/>
          <w:sz w:val="13"/>
          <w:szCs w:val="13"/>
          <w:lang w:val="es-ES" w:eastAsia="es-ES"/>
        </w:rPr>
        <w:lastRenderedPageBreak/>
        <w:tab/>
        <w:t>-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72" w:line="228" w:lineRule="auto"/>
        <w:ind w:right="1296"/>
        <w:rPr>
          <w:rFonts w:ascii="Bookman Old Style" w:hAnsi="Bookman Old Style" w:cs="Bookman Old Style"/>
          <w:spacing w:val="-18"/>
          <w:lang w:val="es-ES" w:eastAsia="es-ES"/>
        </w:rPr>
      </w:pPr>
      <w:proofErr w:type="gramStart"/>
      <w:r>
        <w:rPr>
          <w:rFonts w:ascii="Bookman Old Style" w:hAnsi="Bookman Old Style" w:cs="Bookman Old Style"/>
          <w:spacing w:val="-18"/>
          <w:lang w:val="es-ES" w:eastAsia="es-ES"/>
        </w:rPr>
        <w:t>oferentes</w:t>
      </w:r>
      <w:proofErr w:type="gramEnd"/>
      <w:r>
        <w:rPr>
          <w:rFonts w:ascii="Bookman Old Style" w:hAnsi="Bookman Old Style" w:cs="Bookman Old Style"/>
          <w:spacing w:val="-18"/>
          <w:lang w:val="es-ES" w:eastAsia="es-ES"/>
        </w:rPr>
        <w:t xml:space="preserve"> que se señalan en esa publicación éstos han adquirido una calificación igual, mayor o corregida a la solicitada.</w:t>
      </w:r>
    </w:p>
    <w:p w:rsidR="00FC53FA" w:rsidRDefault="00FC53FA" w:rsidP="00FC53FA">
      <w:pPr>
        <w:pStyle w:val="Style2"/>
        <w:kinsoku w:val="0"/>
        <w:autoSpaceDE/>
        <w:autoSpaceDN/>
        <w:spacing w:line="228" w:lineRule="auto"/>
        <w:rPr>
          <w:rStyle w:val="CharacterStyle2"/>
          <w:rFonts w:ascii="Bookman Old Style" w:hAnsi="Bookman Old Style" w:cs="Bookman Old Style"/>
          <w:spacing w:val="-21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SEXTO: Que el 5 de noviembre del 2001 el señor </w:t>
      </w:r>
      <w:r>
        <w:rPr>
          <w:rStyle w:val="CharacterStyle2"/>
          <w:b/>
          <w:bCs/>
          <w:spacing w:val="-10"/>
          <w:sz w:val="25"/>
          <w:szCs w:val="25"/>
          <w:lang w:val="es-ES" w:eastAsia="es-ES"/>
        </w:rPr>
        <w:t xml:space="preserve">MTGA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presenta </w:t>
      </w:r>
      <w:r>
        <w:rPr>
          <w:rStyle w:val="CharacterStyle2"/>
          <w:rFonts w:ascii="Bookman Old Style" w:hAnsi="Bookman Old Style" w:cs="Bookman Old Style"/>
          <w:spacing w:val="-21"/>
          <w:lang w:val="es-ES" w:eastAsia="es-ES"/>
        </w:rPr>
        <w:t>libelo de revocatoria en contra del acto administrativo publicado al Alcance N° 75-A de La Gaceta N° 207, del lunes 29 de octubre del 2001.</w:t>
      </w:r>
    </w:p>
    <w:p w:rsidR="00FC53FA" w:rsidRDefault="00FC53FA" w:rsidP="00FC53FA">
      <w:pPr>
        <w:pStyle w:val="Style2"/>
        <w:kinsoku w:val="0"/>
        <w:autoSpaceDE/>
        <w:autoSpaceDN/>
        <w:rPr>
          <w:rStyle w:val="CharacterStyle2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7"/>
          <w:lang w:val="es-ES" w:eastAsia="es-ES"/>
        </w:rPr>
        <w:t xml:space="preserve">SETIMO: Que la Junta Directiva del Consejo de Transporte público, acogió la </w:t>
      </w: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rFonts w:ascii="Bookman Old Style" w:hAnsi="Bookman Old Style" w:cs="Bookman Old Style"/>
          <w:spacing w:val="-14"/>
          <w:lang w:val="es-ES" w:eastAsia="es-ES"/>
        </w:rPr>
        <w:t xml:space="preserve">020293 donde rechaza la revocatoria planteada por el recurrente contra la Sesión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2"/>
          <w:rFonts w:ascii="Bookman Old Style" w:hAnsi="Bookman Old Style" w:cs="Bookman Old Style"/>
          <w:spacing w:val="-12"/>
          <w:lang w:val="es-ES" w:eastAsia="es-ES"/>
        </w:rPr>
        <w:t xml:space="preserve">octubre del 2001. Rechazo al recurso de revocatoria y elevación ante el Tribunal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>Administrativo de Transporte efectuado mediante el Artículo 1 de la Sesión Ordinaria N° 6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softHyphen/>
        <w:t>2002 de fecha 22 de enero del 2002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288" w:line="681" w:lineRule="auto"/>
        <w:ind w:right="1584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14"/>
          <w:sz w:val="25"/>
          <w:szCs w:val="25"/>
          <w:lang w:val="es-ES" w:eastAsia="es-ES"/>
        </w:rPr>
        <w:t xml:space="preserve">OCTAVO: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sz w:val="25"/>
          <w:szCs w:val="25"/>
          <w:lang w:val="es-ES" w:eastAsia="es-ES"/>
        </w:rPr>
        <w:t>Redacta el Juez Fallas Acosta; y,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360" w:line="206" w:lineRule="auto"/>
        <w:ind w:left="3384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FC53FA" w:rsidRDefault="00FC53FA" w:rsidP="00FC53FA">
      <w:pPr>
        <w:pStyle w:val="Style2"/>
        <w:kinsoku w:val="0"/>
        <w:autoSpaceDE/>
        <w:autoSpaceDN/>
        <w:spacing w:before="180"/>
        <w:rPr>
          <w:rStyle w:val="CharacterStyle2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2"/>
          <w:b/>
          <w:bCs/>
          <w:spacing w:val="-7"/>
          <w:sz w:val="25"/>
          <w:szCs w:val="25"/>
          <w:lang w:val="es-ES" w:eastAsia="es-ES"/>
        </w:rPr>
        <w:t xml:space="preserve">SOBRE LA COMPETENCIA: </w:t>
      </w:r>
      <w:r>
        <w:rPr>
          <w:rStyle w:val="CharacterStyle2"/>
          <w:rFonts w:ascii="Bookman Old Style" w:hAnsi="Bookman Old Style" w:cs="Bookman Old Style"/>
          <w:spacing w:val="-17"/>
          <w:lang w:val="es-ES" w:eastAsia="es-ES"/>
        </w:rPr>
        <w:t xml:space="preserve">De conformidad con el artículo 22 de la Ley Reguladora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de Taxi, No. 7969 del 22 de diciembre de 1999, en relación con el artículo 15 del Decreto </w:t>
      </w:r>
      <w:r>
        <w:rPr>
          <w:rStyle w:val="CharacterStyle2"/>
          <w:rFonts w:ascii="Bookman Old Style" w:hAnsi="Bookman Old Style" w:cs="Bookman Old Style"/>
          <w:spacing w:val="-20"/>
          <w:lang w:val="es-ES" w:eastAsia="es-ES"/>
        </w:rPr>
        <w:t xml:space="preserve">No. 28913-MOPT denominado "Reglamento del primer procedimiento especial abreviado para el transporte remunerado de personas en vehículos en la modalidad de taxi" y sus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reformas; así como la resolución de la Contraloría General de la República No. RC-694- </w:t>
      </w:r>
      <w:r>
        <w:rPr>
          <w:rStyle w:val="CharacterStyle2"/>
          <w:rFonts w:ascii="Bookman Old Style" w:hAnsi="Bookman Old Style" w:cs="Bookman Old Style"/>
          <w:spacing w:val="-24"/>
          <w:lang w:val="es-ES" w:eastAsia="es-ES"/>
        </w:rPr>
        <w:t xml:space="preserve">2001 de las nueve horas con cuarenta y cinco minutos del trece de noviembre del 2001, el </w:t>
      </w:r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 xml:space="preserve">Tribunal Administrativo de Transporte es el competente para conocer y resolver el presente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>recurso de apelación.</w:t>
      </w:r>
    </w:p>
    <w:p w:rsidR="00FC53FA" w:rsidRDefault="00FC53FA" w:rsidP="00FC53FA">
      <w:pPr>
        <w:pStyle w:val="Style1"/>
        <w:kinsoku w:val="0"/>
        <w:autoSpaceDE/>
        <w:autoSpaceDN/>
        <w:adjustRightInd/>
        <w:spacing w:before="216" w:line="206" w:lineRule="auto"/>
        <w:ind w:left="3960"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sz w:val="22"/>
          <w:szCs w:val="22"/>
          <w:lang w:val="es-ES" w:eastAsia="es-ES"/>
        </w:rPr>
        <w:t>ÚN</w:t>
      </w:r>
      <w:r>
        <w:rPr>
          <w:rFonts w:ascii="Bookman Old Style" w:hAnsi="Bookman Old Style" w:cs="Bookman Old Style"/>
          <w:spacing w:val="-10"/>
          <w:lang w:val="es-ES" w:eastAsia="es-ES"/>
        </w:rPr>
        <w:t>ICO:</w:t>
      </w:r>
    </w:p>
    <w:p w:rsidR="00FC53FA" w:rsidRDefault="00FC53FA" w:rsidP="00FC53FA">
      <w:pPr>
        <w:pStyle w:val="Style2"/>
        <w:kinsoku w:val="0"/>
        <w:autoSpaceDE/>
        <w:autoSpaceDN/>
        <w:spacing w:before="216"/>
        <w:rPr>
          <w:rStyle w:val="CharacterStyle2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 xml:space="preserve">Es evidente que el motivo por el cual la Junta Directiva del Consejo de Transporte Público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ordeno el conocimiento en alzada, para ante este Tribunal, del escrito presentado por el </w:t>
      </w: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señor </w:t>
      </w:r>
      <w:r>
        <w:rPr>
          <w:rStyle w:val="CharacterStyle2"/>
          <w:b/>
          <w:bCs/>
          <w:spacing w:val="-6"/>
          <w:sz w:val="25"/>
          <w:szCs w:val="25"/>
          <w:lang w:val="es-ES" w:eastAsia="es-ES"/>
        </w:rPr>
        <w:t xml:space="preserve">MTGA, </w:t>
      </w: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radica básicamente en un error cometido en el </w:t>
      </w:r>
      <w:r>
        <w:rPr>
          <w:rStyle w:val="CharacterStyle2"/>
          <w:rFonts w:ascii="Bookman Old Style" w:hAnsi="Bookman Old Style" w:cs="Bookman Old Style"/>
          <w:spacing w:val="-15"/>
          <w:lang w:val="es-ES" w:eastAsia="es-ES"/>
        </w:rPr>
        <w:t xml:space="preserve">Artículo 1 de la Sesión Ordinaria N° 6- 2002 de fecha 22 de enero del 2002, donde </w:t>
      </w:r>
      <w:r>
        <w:rPr>
          <w:rStyle w:val="CharacterStyle2"/>
          <w:rFonts w:ascii="Bookman Old Style" w:hAnsi="Bookman Old Style" w:cs="Bookman Old Style"/>
          <w:spacing w:val="-16"/>
          <w:lang w:val="es-ES" w:eastAsia="es-ES"/>
        </w:rPr>
        <w:t xml:space="preserve">desconoce la recomendación que hace la Asesoría Jurídica de ese Consejo al invertir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respuesta a la petición planteada por el señor </w:t>
      </w:r>
      <w:r>
        <w:rPr>
          <w:rStyle w:val="CharacterStyle2"/>
          <w:b/>
          <w:bCs/>
          <w:spacing w:val="-8"/>
          <w:sz w:val="25"/>
          <w:szCs w:val="25"/>
          <w:lang w:val="es-ES" w:eastAsia="es-ES"/>
        </w:rPr>
        <w:t xml:space="preserve">G…. </w:t>
      </w:r>
      <w:r>
        <w:rPr>
          <w:rStyle w:val="CharacterStyle2"/>
          <w:rFonts w:ascii="Bookman Old Style" w:hAnsi="Bookman Old Style" w:cs="Bookman Old Style"/>
          <w:spacing w:val="-18"/>
          <w:lang w:val="es-ES" w:eastAsia="es-ES"/>
        </w:rPr>
        <w:t xml:space="preserve">No obstante, analizado el escrito </w:t>
      </w:r>
      <w:r>
        <w:rPr>
          <w:rStyle w:val="CharacterStyle2"/>
          <w:rFonts w:ascii="Bookman Old Style" w:hAnsi="Bookman Old Style" w:cs="Bookman Old Style"/>
          <w:spacing w:val="-23"/>
          <w:lang w:val="es-ES" w:eastAsia="es-ES"/>
        </w:rPr>
        <w:t xml:space="preserve">de marras se evidencia que el mismo se presento únicamente como recurso de revocatoria, </w:t>
      </w:r>
      <w:r>
        <w:rPr>
          <w:rStyle w:val="CharacterStyle2"/>
          <w:rFonts w:ascii="Bookman Old Style" w:hAnsi="Bookman Old Style" w:cs="Bookman Old Style"/>
          <w:spacing w:val="-17"/>
          <w:lang w:val="es-ES" w:eastAsia="es-ES"/>
        </w:rPr>
        <w:t xml:space="preserve">según se establece en el resultando sexto de esta resolución, por lo que no se entra a </w:t>
      </w:r>
      <w:r>
        <w:rPr>
          <w:rStyle w:val="CharacterStyle2"/>
          <w:rFonts w:ascii="Bookman Old Style" w:hAnsi="Bookman Old Style" w:cs="Bookman Old Style"/>
          <w:spacing w:val="-21"/>
          <w:lang w:val="es-ES" w:eastAsia="es-ES"/>
        </w:rPr>
        <w:t xml:space="preserve">conocer el fondo del mismo. Adicionalmente se debe advertir que de él no se infiere razón </w:t>
      </w:r>
      <w:r>
        <w:rPr>
          <w:rStyle w:val="CharacterStyle2"/>
          <w:rFonts w:ascii="Bookman Old Style" w:hAnsi="Bookman Old Style" w:cs="Bookman Old Style"/>
          <w:spacing w:val="-22"/>
          <w:lang w:val="es-ES" w:eastAsia="es-ES"/>
        </w:rPr>
        <w:t>alguna para pretender su conocimiento por parte de este Tribunal, en ese tanto se resuelve,</w:t>
      </w:r>
    </w:p>
    <w:p w:rsidR="00FC53FA" w:rsidRDefault="00FC53FA" w:rsidP="00FC53FA">
      <w:pPr>
        <w:widowControl/>
        <w:kinsoku/>
        <w:autoSpaceDE w:val="0"/>
        <w:autoSpaceDN w:val="0"/>
        <w:adjustRightInd w:val="0"/>
        <w:sectPr w:rsidR="00FC53FA">
          <w:pgSz w:w="12240" w:h="15840"/>
          <w:pgMar w:top="710" w:right="978" w:bottom="2140" w:left="1042" w:header="720" w:footer="720" w:gutter="0"/>
          <w:cols w:space="720"/>
          <w:noEndnote/>
        </w:sectPr>
      </w:pPr>
    </w:p>
    <w:p w:rsidR="00FC53FA" w:rsidRDefault="00FC53FA" w:rsidP="00FC53FA">
      <w:pPr>
        <w:pStyle w:val="Style3"/>
        <w:kinsoku w:val="0"/>
        <w:autoSpaceDE/>
        <w:autoSpaceDN/>
        <w:rPr>
          <w:rStyle w:val="CharacterStyle3"/>
          <w:b/>
          <w:w w:val="105"/>
          <w:lang w:val="es-ES" w:eastAsia="es-ES"/>
        </w:rPr>
      </w:pPr>
      <w:r>
        <w:rPr>
          <w:rStyle w:val="CharacterStyle3"/>
          <w:b/>
          <w:w w:val="105"/>
          <w:lang w:val="es-ES" w:eastAsia="es-ES"/>
        </w:rPr>
        <w:lastRenderedPageBreak/>
        <w:t>POR TANTO:</w:t>
      </w:r>
    </w:p>
    <w:p w:rsidR="00FC53FA" w:rsidRDefault="00FC53FA" w:rsidP="00FC53FA">
      <w:pPr>
        <w:pStyle w:val="Style4"/>
        <w:numPr>
          <w:ilvl w:val="0"/>
          <w:numId w:val="1"/>
        </w:numPr>
        <w:tabs>
          <w:tab w:val="clear" w:pos="432"/>
          <w:tab w:val="num" w:pos="1512"/>
        </w:tabs>
        <w:kinsoku w:val="0"/>
        <w:autoSpaceDE/>
        <w:autoSpaceDN/>
        <w:spacing w:line="286" w:lineRule="exact"/>
        <w:rPr>
          <w:rStyle w:val="CharacterStyle3"/>
          <w:b/>
          <w:spacing w:val="-4"/>
          <w:w w:val="105"/>
          <w:lang w:val="es-ES" w:eastAsia="es-ES"/>
        </w:rPr>
      </w:pPr>
      <w:r>
        <w:rPr>
          <w:rStyle w:val="CharacterStyle3"/>
          <w:rFonts w:ascii="Garamond" w:hAnsi="Garamond" w:cs="Garamond"/>
          <w:bCs w:val="0"/>
          <w:spacing w:val="-7"/>
          <w:sz w:val="27"/>
          <w:szCs w:val="27"/>
          <w:lang w:val="es-ES" w:eastAsia="es-ES"/>
        </w:rPr>
        <w:t xml:space="preserve">Se ordena el archivo del recurso en alzada, presentado </w:t>
      </w:r>
      <w:r>
        <w:rPr>
          <w:rStyle w:val="CharacterStyle3"/>
          <w:b/>
          <w:spacing w:val="-7"/>
          <w:w w:val="105"/>
          <w:lang w:val="es-ES" w:eastAsia="es-ES"/>
        </w:rPr>
        <w:t>por MTGA</w:t>
      </w:r>
      <w:r>
        <w:rPr>
          <w:rStyle w:val="CharacterStyle3"/>
          <w:b/>
          <w:spacing w:val="-4"/>
          <w:w w:val="105"/>
          <w:lang w:val="es-ES" w:eastAsia="es-ES"/>
        </w:rPr>
        <w:t xml:space="preserve">, cédula de identidad </w:t>
      </w:r>
      <w:proofErr w:type="gramStart"/>
      <w:r>
        <w:rPr>
          <w:rStyle w:val="CharacterStyle3"/>
          <w:b/>
          <w:spacing w:val="-4"/>
          <w:w w:val="105"/>
          <w:lang w:val="es-ES" w:eastAsia="es-ES"/>
        </w:rPr>
        <w:t>número ….</w:t>
      </w:r>
      <w:proofErr w:type="gramEnd"/>
    </w:p>
    <w:p w:rsidR="00FC53FA" w:rsidRDefault="00FC53FA" w:rsidP="00FC53FA">
      <w:pPr>
        <w:pStyle w:val="Style5"/>
        <w:numPr>
          <w:ilvl w:val="0"/>
          <w:numId w:val="1"/>
        </w:numPr>
        <w:tabs>
          <w:tab w:val="clear" w:pos="432"/>
          <w:tab w:val="num" w:pos="1512"/>
        </w:tabs>
        <w:kinsoku w:val="0"/>
        <w:autoSpaceDE/>
        <w:autoSpaceDN/>
        <w:spacing w:line="278" w:lineRule="exact"/>
        <w:rPr>
          <w:rStyle w:val="CharacterStyle4"/>
          <w:i/>
          <w:spacing w:val="-5"/>
          <w:lang w:val="es-ES" w:eastAsia="es-ES"/>
        </w:rPr>
      </w:pPr>
      <w:r>
        <w:rPr>
          <w:rStyle w:val="CharacterStyle4"/>
          <w:rFonts w:ascii="Garamond" w:hAnsi="Garamond" w:cs="Garamond"/>
          <w:iCs w:val="0"/>
          <w:spacing w:val="-3"/>
          <w:sz w:val="27"/>
          <w:szCs w:val="27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rFonts w:ascii="Garamond" w:hAnsi="Garamond" w:cs="Garamond"/>
          <w:iCs w:val="0"/>
          <w:spacing w:val="-5"/>
          <w:sz w:val="27"/>
          <w:szCs w:val="27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spacing w:val="-5"/>
          <w:lang w:val="es-ES" w:eastAsia="es-ES"/>
        </w:rPr>
        <w:t>tiene por agotada la vía administrativa.</w:t>
      </w:r>
    </w:p>
    <w:p w:rsidR="00FC53FA" w:rsidRDefault="00FC53FA" w:rsidP="00FC53FA">
      <w:pPr>
        <w:pStyle w:val="Style6"/>
        <w:kinsoku w:val="0"/>
        <w:autoSpaceDE/>
        <w:autoSpaceDN/>
        <w:rPr>
          <w:rStyle w:val="CharacterStyle3"/>
          <w:b/>
          <w:w w:val="105"/>
          <w:lang w:val="es-ES" w:eastAsia="es-ES"/>
        </w:rPr>
      </w:pPr>
      <w:r>
        <w:rPr>
          <w:rStyle w:val="CharacterStyle3"/>
          <w:b/>
          <w:w w:val="105"/>
          <w:lang w:val="es-ES" w:eastAsia="es-ES"/>
        </w:rPr>
        <w:t>NOTIFIQUESE.-</w:t>
      </w:r>
    </w:p>
    <w:p w:rsidR="00FC53FA" w:rsidRDefault="00FC53FA" w:rsidP="00FC53FA">
      <w:pPr>
        <w:pStyle w:val="Style8"/>
        <w:tabs>
          <w:tab w:val="left" w:pos="5526"/>
        </w:tabs>
        <w:kinsoku w:val="0"/>
        <w:autoSpaceDE/>
        <w:autoSpaceDN/>
        <w:adjustRightInd/>
        <w:spacing w:before="216"/>
        <w:rPr>
          <w:rStyle w:val="CharacterStyle4"/>
          <w:iCs/>
          <w:spacing w:val="-4"/>
          <w:szCs w:val="25"/>
          <w:lang w:val="es-ES" w:eastAsia="es-ES"/>
        </w:rPr>
      </w:pPr>
    </w:p>
    <w:p w:rsidR="00FC53FA" w:rsidRDefault="00FC53FA" w:rsidP="00FC53FA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7F2E23">
        <w:t>Licda</w:t>
      </w:r>
      <w:proofErr w:type="spellEnd"/>
      <w:r w:rsidRPr="007F2E23">
        <w:t>.</w:t>
      </w:r>
      <w:proofErr w:type="gramEnd"/>
      <w:r w:rsidRPr="007F2E23">
        <w:t xml:space="preserve"> Marta</w:t>
      </w:r>
      <w:r w:rsidRPr="00C956E8">
        <w:rPr>
          <w:sz w:val="26"/>
          <w:szCs w:val="26"/>
        </w:rPr>
        <w:t xml:space="preserve">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FC53FA" w:rsidRDefault="00FC53FA" w:rsidP="00FC53FA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C53FA" w:rsidRDefault="00FC53FA" w:rsidP="00FC53FA">
      <w:pPr>
        <w:ind w:left="993"/>
        <w:rPr>
          <w:sz w:val="26"/>
          <w:szCs w:val="26"/>
        </w:rPr>
      </w:pPr>
    </w:p>
    <w:p w:rsidR="00FC53FA" w:rsidRDefault="00FC53FA" w:rsidP="00FC53FA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C53FA" w:rsidRPr="00863A7F" w:rsidRDefault="00FC53FA" w:rsidP="00FC53FA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FC53FA" w:rsidRDefault="00FC53FA" w:rsidP="00FC53FA">
      <w:pPr>
        <w:pStyle w:val="Style3"/>
        <w:widowControl/>
        <w:spacing w:before="216"/>
      </w:pPr>
      <w:r>
        <w:rPr>
          <w:noProof/>
          <w:lang w:val="es-CR"/>
        </w:rPr>
        <w:pict>
          <v:line id="_x0000_s1026" style="position:absolute;left:0;text-align:left;z-index:251658240;mso-wrap-distance-left:0;mso-wrap-distance-right:0;mso-position-horizontal-relative:page;mso-position-vertical-relative:page" from="600.7pt,682.1pt" to="657.75pt,682.1pt" o:allowincell="f" strokeweight=".5pt">
            <w10:wrap type="square" anchorx="page" anchory="page"/>
          </v:line>
        </w:pict>
      </w:r>
    </w:p>
    <w:p w:rsidR="00FC53FA" w:rsidRDefault="00FC53FA" w:rsidP="00FC53FA">
      <w:pPr>
        <w:pStyle w:val="Style6"/>
        <w:kinsoku w:val="0"/>
        <w:autoSpaceDE/>
        <w:autoSpaceDN/>
        <w:rPr>
          <w:rStyle w:val="CharacterStyle3"/>
          <w:b/>
          <w:w w:val="105"/>
          <w:lang w:val="es-ES" w:eastAsia="es-ES"/>
        </w:rPr>
      </w:pPr>
    </w:p>
    <w:p w:rsidR="00FC53FA" w:rsidRDefault="00FC53FA" w:rsidP="00FC53FA">
      <w:pPr>
        <w:pStyle w:val="Style6"/>
        <w:kinsoku w:val="0"/>
        <w:autoSpaceDE/>
        <w:autoSpaceDN/>
        <w:rPr>
          <w:rStyle w:val="CharacterStyle3"/>
          <w:b/>
          <w:w w:val="105"/>
          <w:lang w:val="es-ES" w:eastAsia="es-ES"/>
        </w:rPr>
      </w:pPr>
    </w:p>
    <w:p w:rsidR="00FC53FA" w:rsidRDefault="00FC53FA" w:rsidP="00FC53FA">
      <w:pPr>
        <w:ind w:left="66" w:right="67"/>
        <w:jc w:val="center"/>
      </w:pPr>
    </w:p>
    <w:p w:rsidR="00FC53FA" w:rsidRDefault="00FC53FA" w:rsidP="00FC53FA">
      <w:pPr>
        <w:ind w:left="66" w:right="67"/>
        <w:jc w:val="center"/>
        <w:sectPr w:rsidR="00FC53FA">
          <w:pgSz w:w="12240" w:h="15840"/>
          <w:pgMar w:top="982" w:right="980" w:bottom="5608" w:left="1040" w:header="720" w:footer="720" w:gutter="0"/>
          <w:cols w:space="720"/>
          <w:noEndnote/>
        </w:sectPr>
      </w:pPr>
    </w:p>
    <w:p w:rsidR="00FC53FA" w:rsidRDefault="00FC53FA" w:rsidP="00FC53FA">
      <w:pPr>
        <w:pStyle w:val="Style7"/>
        <w:tabs>
          <w:tab w:val="right" w:pos="6461"/>
          <w:tab w:val="right" w:pos="7460"/>
        </w:tabs>
        <w:kinsoku w:val="0"/>
        <w:autoSpaceDE/>
        <w:autoSpaceDN/>
        <w:adjustRightInd/>
        <w:spacing w:line="302" w:lineRule="exact"/>
        <w:ind w:left="2592"/>
        <w:rPr>
          <w:rStyle w:val="CharacterStyle5"/>
          <w:rFonts w:ascii="Garamond" w:hAnsi="Garamond" w:cs="Garamond"/>
          <w:spacing w:val="-19"/>
          <w:sz w:val="24"/>
          <w:szCs w:val="24"/>
          <w:lang w:val="es-ES" w:eastAsia="es-ES"/>
        </w:rPr>
      </w:pPr>
      <w:r>
        <w:rPr>
          <w:rStyle w:val="CharacterStyle5"/>
          <w:rFonts w:ascii="Garamond" w:hAnsi="Garamond" w:cs="Garamond"/>
          <w:spacing w:val="-107"/>
          <w:sz w:val="24"/>
          <w:szCs w:val="24"/>
          <w:lang w:val="es-ES" w:eastAsia="es-ES"/>
        </w:rPr>
        <w:lastRenderedPageBreak/>
        <w:t xml:space="preserve"> </w:t>
      </w:r>
    </w:p>
    <w:p w:rsidR="00F07A18" w:rsidRDefault="00F07A18"/>
    <w:sectPr w:rsidR="00F07A18">
      <w:pgSz w:w="12240" w:h="15840"/>
      <w:pgMar w:top="2840" w:right="781" w:bottom="50" w:left="8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663"/>
    <w:multiLevelType w:val="singleLevel"/>
    <w:tmpl w:val="7904576F"/>
    <w:lvl w:ilvl="0">
      <w:start w:val="1"/>
      <w:numFmt w:val="upperRoman"/>
      <w:lvlText w:val="%1.-"/>
      <w:lvlJc w:val="left"/>
      <w:pPr>
        <w:tabs>
          <w:tab w:val="num" w:pos="432"/>
        </w:tabs>
        <w:ind w:left="1008" w:firstLine="72"/>
      </w:pPr>
      <w:rPr>
        <w:rFonts w:ascii="Garamond" w:hAnsi="Garamond" w:cs="Garamond"/>
        <w:snapToGrid/>
        <w:spacing w:val="-7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3FA"/>
    <w:rsid w:val="003819BC"/>
    <w:rsid w:val="003D5801"/>
    <w:rsid w:val="004265E2"/>
    <w:rsid w:val="006A5EC0"/>
    <w:rsid w:val="0099644F"/>
    <w:rsid w:val="00A71D2C"/>
    <w:rsid w:val="00B43B43"/>
    <w:rsid w:val="00CA79F1"/>
    <w:rsid w:val="00F07A18"/>
    <w:rsid w:val="00FC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F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C53F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C53FA"/>
    <w:pPr>
      <w:kinsoku/>
      <w:autoSpaceDE w:val="0"/>
      <w:autoSpaceDN w:val="0"/>
      <w:spacing w:before="288" w:line="232" w:lineRule="auto"/>
      <w:ind w:right="1296"/>
      <w:jc w:val="both"/>
    </w:pPr>
  </w:style>
  <w:style w:type="paragraph" w:customStyle="1" w:styleId="Style3">
    <w:name w:val="Style 3"/>
    <w:basedOn w:val="Normal"/>
    <w:uiPriority w:val="99"/>
    <w:rsid w:val="00FC53FA"/>
    <w:pPr>
      <w:kinsoku/>
      <w:autoSpaceDE w:val="0"/>
      <w:autoSpaceDN w:val="0"/>
      <w:spacing w:line="204" w:lineRule="auto"/>
      <w:ind w:left="4680"/>
    </w:pPr>
    <w:rPr>
      <w:b/>
      <w:bCs/>
    </w:rPr>
  </w:style>
  <w:style w:type="paragraph" w:customStyle="1" w:styleId="Style5">
    <w:name w:val="Style 5"/>
    <w:basedOn w:val="Normal"/>
    <w:uiPriority w:val="99"/>
    <w:rsid w:val="00FC53FA"/>
    <w:pPr>
      <w:kinsoku/>
      <w:autoSpaceDE w:val="0"/>
      <w:autoSpaceDN w:val="0"/>
      <w:spacing w:before="252" w:line="276" w:lineRule="exact"/>
      <w:ind w:left="1008" w:right="288" w:firstLine="72"/>
    </w:pPr>
    <w:rPr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FC53F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C53FA"/>
    <w:pPr>
      <w:kinsoku/>
      <w:autoSpaceDE w:val="0"/>
      <w:autoSpaceDN w:val="0"/>
      <w:spacing w:before="252" w:line="288" w:lineRule="exact"/>
      <w:ind w:left="1008" w:right="288" w:firstLine="72"/>
    </w:pPr>
    <w:rPr>
      <w:b/>
      <w:bCs/>
    </w:rPr>
  </w:style>
  <w:style w:type="paragraph" w:customStyle="1" w:styleId="Style6">
    <w:name w:val="Style 6"/>
    <w:basedOn w:val="Normal"/>
    <w:uiPriority w:val="99"/>
    <w:rsid w:val="00FC53FA"/>
    <w:pPr>
      <w:kinsoku/>
      <w:autoSpaceDE w:val="0"/>
      <w:autoSpaceDN w:val="0"/>
      <w:spacing w:before="252" w:after="144"/>
      <w:ind w:left="1008"/>
    </w:pPr>
    <w:rPr>
      <w:b/>
      <w:bCs/>
    </w:rPr>
  </w:style>
  <w:style w:type="character" w:customStyle="1" w:styleId="CharacterStyle2">
    <w:name w:val="Character Style 2"/>
    <w:uiPriority w:val="99"/>
    <w:rsid w:val="00FC53FA"/>
    <w:rPr>
      <w:sz w:val="24"/>
    </w:rPr>
  </w:style>
  <w:style w:type="character" w:customStyle="1" w:styleId="CharacterStyle3">
    <w:name w:val="Character Style 3"/>
    <w:uiPriority w:val="99"/>
    <w:rsid w:val="00FC53FA"/>
    <w:rPr>
      <w:b/>
      <w:sz w:val="24"/>
    </w:rPr>
  </w:style>
  <w:style w:type="character" w:customStyle="1" w:styleId="CharacterStyle4">
    <w:name w:val="Character Style 4"/>
    <w:uiPriority w:val="99"/>
    <w:rsid w:val="00FC53FA"/>
    <w:rPr>
      <w:i/>
      <w:sz w:val="25"/>
    </w:rPr>
  </w:style>
  <w:style w:type="character" w:customStyle="1" w:styleId="CharacterStyle5">
    <w:name w:val="Character Style 5"/>
    <w:uiPriority w:val="99"/>
    <w:rsid w:val="00FC53FA"/>
    <w:rPr>
      <w:sz w:val="20"/>
    </w:rPr>
  </w:style>
  <w:style w:type="paragraph" w:customStyle="1" w:styleId="Style8">
    <w:name w:val="Style 8"/>
    <w:basedOn w:val="Normal"/>
    <w:uiPriority w:val="99"/>
    <w:rsid w:val="00FC53FA"/>
    <w:pPr>
      <w:kinsoku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4254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2013-08-12T20:30:00Z</dcterms:created>
  <dcterms:modified xsi:type="dcterms:W3CDTF">2013-08-12T20:30:00Z</dcterms:modified>
</cp:coreProperties>
</file>